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8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spacing w:before="0" w:after="120"/>
        <w:ind w:left="-709" w:hanging="0"/>
        <w:jc w:val="right"/>
        <w:rPr>
          <w:sz w:val="24"/>
          <w:szCs w:val="24"/>
        </w:rPr>
      </w:pPr>
      <w:r>
        <w:rPr>
          <w:sz w:val="24"/>
          <w:szCs w:val="24"/>
        </w:rPr>
      </w:r>
      <w:bookmarkStart w:id="0" w:name="_Hlk130891245"/>
      <w:bookmarkStart w:id="1" w:name="_Hlk130891245"/>
      <w:bookmarkEnd w:id="1"/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b/>
          <w:bCs/>
        </w:rPr>
        <w:t>Технические требования</w:t>
      </w:r>
    </w:p>
    <w:p>
      <w:pPr>
        <w:pStyle w:val="Normal"/>
        <w:jc w:val="center"/>
        <w:rPr/>
      </w:pPr>
      <w:r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 xml:space="preserve">на выполнение работ 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</w:rPr>
        <w:t>Лот 4-РЕМ-2026-БурГЭС О</w:t>
      </w:r>
      <w:r>
        <w:rPr>
          <w:sz w:val="26"/>
          <w:szCs w:val="26"/>
        </w:rPr>
        <w:t xml:space="preserve">КПД2 43.99.40. 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«Текущий ремонт водосливной грани плотины Бурейской ГЭС»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sectPr>
          <w:headerReference w:type="default" r:id="rId2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jc w:val="center"/>
        <w:rPr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</w:t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_RefHeading___Toc11652_3732447899">
            <w:r>
              <w:rPr>
                <w:webHidden/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54_3732447899">
            <w:r>
              <w:rPr>
                <w:webHidden/>
                <w:rStyle w:val="Style14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56_3732447899">
            <w:r>
              <w:rPr>
                <w:webHidden/>
                <w:rStyle w:val="Style14"/>
                <w:vanish w:val="false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58_3732447899">
            <w:r>
              <w:rPr>
                <w:webHidden/>
                <w:rStyle w:val="Style14"/>
                <w:vanish w:val="false"/>
              </w:rPr>
              <w:t xml:space="preserve">1.3. </w:t>
            </w:r>
            <w:r>
              <w:rPr>
                <w:rStyle w:val="Style14"/>
              </w:rPr>
              <w:t>Цель выполнения работ</w:t>
              <w:tab/>
              <w:t>3</w:t>
            </w:r>
          </w:hyperlink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60_3732447899">
            <w:r>
              <w:rPr>
                <w:webHidden/>
                <w:rStyle w:val="Style14"/>
                <w:vanish w:val="false"/>
              </w:rPr>
              <w:t>1.4. Существующее положение</w:t>
              <w:tab/>
              <w:t>3</w:t>
            </w:r>
          </w:hyperlink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64_3732447899">
            <w:r>
              <w:rPr>
                <w:webHidden/>
                <w:rStyle w:val="Style14"/>
                <w:vanish w:val="false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  <w:t>4</w:t>
            </w:r>
          </w:hyperlink>
        </w:p>
        <w:p>
          <w:pPr>
            <w:pStyle w:val="TOC1"/>
            <w:tabs>
              <w:tab w:val="clear" w:pos="720"/>
              <w:tab w:val="right" w:pos="9921" w:leader="dot"/>
            </w:tabs>
            <w:rPr/>
          </w:pPr>
          <w:hyperlink w:anchor="__RefHeading___Toc11666_3732447899">
            <w:r>
              <w:rPr>
                <w:webHidden/>
                <w:rStyle w:val="Style14"/>
                <w:vanish w:val="false"/>
              </w:rPr>
              <w:t>2. Требования к выполняемым работам</w:t>
              <w:tab/>
            </w:r>
          </w:hyperlink>
          <w:r>
            <w:rPr/>
            <w:t>4</w:t>
          </w:r>
        </w:p>
        <w:p>
          <w:pPr>
            <w:pStyle w:val="TOC4"/>
            <w:tabs>
              <w:tab w:val="clear" w:pos="720"/>
              <w:tab w:val="right" w:pos="9921" w:leader="dot"/>
            </w:tabs>
            <w:rPr/>
          </w:pPr>
          <w:hyperlink w:anchor="__RefHeading___Toc11668_3732447899">
            <w:r>
              <w:rPr>
                <w:webHidden/>
                <w:rStyle w:val="Style14"/>
                <w:vanish w:val="false"/>
              </w:rPr>
              <w:t>2.1. Требования к видам и объемам выполнения работ</w:t>
              <w:tab/>
            </w:r>
          </w:hyperlink>
          <w:r>
            <w:rPr/>
            <w:t>4</w:t>
          </w:r>
        </w:p>
        <w:p>
          <w:pPr>
            <w:pStyle w:val="TOC3"/>
            <w:tabs>
              <w:tab w:val="clear" w:pos="720"/>
              <w:tab w:val="right" w:pos="9921" w:leader="dot"/>
            </w:tabs>
            <w:rPr/>
          </w:pPr>
          <w:r>
            <w:rPr/>
            <w:t xml:space="preserve">     </w:t>
          </w:r>
          <w:hyperlink w:anchor="__RefHeading___Toc11670_3732447899">
            <w:r>
              <w:rPr>
                <w:webHidden/>
                <w:rStyle w:val="Style14"/>
                <w:vanish w:val="false"/>
              </w:rPr>
              <w:t>2.2.  Требования к срокам выполнения работ</w:t>
              <w:tab/>
            </w:r>
          </w:hyperlink>
          <w:r>
            <w:rPr/>
            <w:t>4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2.3.  Требования к качеству работ…………………………………………………………………………………...5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2.4.  Требования к организации работ……………………………………………………………………………….8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2.5.  Требования к применяемым при выполнении работ оборудованию и материалам, технологиям,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        </w:t>
          </w:r>
          <w:r>
            <w:rPr>
              <w:sz w:val="20"/>
              <w:szCs w:val="20"/>
            </w:rPr>
            <w:t xml:space="preserve">програмно-аппаратным средствам……………………………………………………………………………..9 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2.6   Требования к контролю качества работ и материалов………………………………………………………10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2.7   Требования к персоналу Подрядчика…………………………………………………………………………11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/>
          </w:pPr>
          <w:r>
            <w:rPr>
              <w:sz w:val="20"/>
              <w:szCs w:val="20"/>
            </w:rPr>
            <w:t xml:space="preserve">           </w:t>
          </w:r>
          <w:r>
            <w:rPr>
              <w:sz w:val="20"/>
              <w:szCs w:val="20"/>
            </w:rPr>
            <w:t>2.8   Требования к безопасности выполнения работ и охране труда…………………………………………….11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3. Требования к результатам работ……………………………………………………………….12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4. Требования к оформлению документации…………………………………………………….12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5. Требования к ответственности и гарантиям Подрядчика…………………………………..13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6. Требования к обязательствам Подрядчика, влияющим на исполнение договора………13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7. Прочие требования к выполняемым работам………………………………………………..14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8. Требования к документации по ценообразованию на этапе закупки……………………...15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9. Требования к документации по ценообразованию на этапе заключения (исполнения)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 xml:space="preserve">    </w:t>
          </w:r>
          <w:r>
            <w:rPr>
              <w:b/>
              <w:bCs/>
              <w:sz w:val="24"/>
              <w:szCs w:val="24"/>
            </w:rPr>
            <w:t>договора…………………………………………………………………………………………….15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ind w:left="-227" w:hanging="0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 xml:space="preserve">  </w:t>
          </w:r>
          <w:r>
            <w:rPr>
              <w:b/>
              <w:bCs/>
              <w:sz w:val="24"/>
              <w:szCs w:val="24"/>
            </w:rPr>
            <w:t>10. Квалификация (предпочтительность) участника……………………………………………15</w:t>
          </w:r>
        </w:p>
        <w:p>
          <w:pPr>
            <w:pStyle w:val="Normal"/>
            <w:tabs>
              <w:tab w:val="clear" w:pos="720"/>
              <w:tab w:val="right" w:pos="9921" w:leader="dot"/>
            </w:tabs>
            <w:ind w:left="-113" w:hanging="0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11. Приложения……………………………………………………………………………………….16</w:t>
          </w:r>
          <w:r>
            <w:rPr>
              <w:sz w:val="24"/>
              <w:b/>
              <w:szCs w:val="24"/>
              <w:bCs/>
            </w:rPr>
            <w:fldChar w:fldCharType="end"/>
          </w:r>
        </w:p>
      </w:sdtContent>
    </w:sdt>
    <w:p>
      <w:pPr>
        <w:pStyle w:val="TOC1"/>
        <w:tabs>
          <w:tab w:val="clear" w:pos="720"/>
          <w:tab w:val="right" w:pos="9921" w:leader="dot"/>
        </w:tabs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</w:rPr>
      </w:pPr>
      <w:bookmarkStart w:id="2" w:name="__RefHeading___Toc11652_3732447899"/>
      <w:bookmarkStart w:id="3" w:name="_Toc160466039"/>
      <w:bookmarkStart w:id="4" w:name="_Toc51339692"/>
      <w:bookmarkEnd w:id="2"/>
      <w:r>
        <w:rPr/>
        <w:t>Общие сведения</w:t>
      </w:r>
      <w:bookmarkEnd w:id="3"/>
      <w:bookmarkEnd w:id="4"/>
    </w:p>
    <w:p>
      <w:pPr>
        <w:pStyle w:val="Normal"/>
        <w:jc w:val="center"/>
        <w:rPr>
          <w:caps/>
        </w:rPr>
      </w:pPr>
      <w:r>
        <w:rPr>
          <w:caps/>
        </w:rPr>
      </w:r>
    </w:p>
    <w:p>
      <w:pPr>
        <w:pStyle w:val="Heading4"/>
        <w:numPr>
          <w:ilvl w:val="1"/>
          <w:numId w:val="3"/>
        </w:numPr>
        <w:rPr/>
      </w:pPr>
      <w:bookmarkStart w:id="5" w:name="__RefHeading___Toc11654_3732447899"/>
      <w:bookmarkStart w:id="6" w:name="_Toc46743505"/>
      <w:bookmarkStart w:id="7" w:name="_Toc54646396"/>
      <w:bookmarkEnd w:id="5"/>
      <w:r>
        <w:rPr/>
        <w:t>Обозначения и сокращения</w:t>
      </w:r>
      <w:bookmarkEnd w:id="6"/>
      <w:bookmarkEnd w:id="7"/>
    </w:p>
    <w:p>
      <w:pPr>
        <w:pStyle w:val="Normal"/>
        <w:rPr/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43"/>
        <w:gridCol w:w="5539"/>
      </w:tblGrid>
      <w:tr>
        <w:trPr>
          <w:trHeight w:val="556" w:hRule="atLeast"/>
          <w:cantSplit w:val="true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ГЭС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Гидроэлектростанция</w:t>
            </w:r>
          </w:p>
        </w:tc>
      </w:tr>
      <w:tr>
        <w:trPr>
          <w:trHeight w:val="556" w:hRule="atLeast"/>
          <w:cantSplit w:val="true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НТД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</w:t>
            </w:r>
          </w:p>
        </w:tc>
      </w:tr>
      <w:tr>
        <w:trPr>
          <w:trHeight w:val="556" w:hRule="atLeast"/>
          <w:cantSplit w:val="true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ППР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ППРв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 работ на высоте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ГТС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Гидротехнические сооружения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СИЗ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индивидуальной защиты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ВОР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ТТ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trHeight w:val="418" w:hRule="atLeast"/>
          <w:cantSplit w:val="true"/>
        </w:trPr>
        <w:tc>
          <w:tcPr>
            <w:tcW w:w="4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ССБТ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стандартов безопасности труда</w:t>
            </w:r>
          </w:p>
        </w:tc>
      </w:tr>
    </w:tbl>
    <w:p>
      <w:pPr>
        <w:pStyle w:val="Heading4"/>
        <w:tabs>
          <w:tab w:val="clear" w:pos="0"/>
          <w:tab w:val="left" w:pos="420" w:leader="none"/>
        </w:tabs>
        <w:ind w:left="432" w:hanging="0"/>
        <w:rPr/>
      </w:pPr>
      <w:r>
        <w:rPr/>
      </w:r>
    </w:p>
    <w:p>
      <w:pPr>
        <w:pStyle w:val="Heading4"/>
        <w:numPr>
          <w:ilvl w:val="1"/>
          <w:numId w:val="3"/>
        </w:numPr>
        <w:rPr/>
      </w:pPr>
      <w:bookmarkStart w:id="8" w:name="__RefHeading___Toc11656_3732447899"/>
      <w:bookmarkStart w:id="9" w:name="_Toc46743506"/>
      <w:bookmarkStart w:id="10" w:name="_Toc160466041"/>
      <w:bookmarkEnd w:id="8"/>
      <w:r>
        <w:rPr/>
        <w:t>Наименование закупаемой продукции</w:t>
      </w:r>
      <w:bookmarkEnd w:id="9"/>
      <w:bookmarkEnd w:id="10"/>
    </w:p>
    <w:p>
      <w:pPr>
        <w:pStyle w:val="Normal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</w:t>
      </w:r>
      <w:r>
        <w:rPr>
          <w:rFonts w:eastAsia="Calibri"/>
          <w:sz w:val="26"/>
          <w:szCs w:val="26"/>
        </w:rPr>
        <w:t>«О</w:t>
      </w:r>
      <w:r>
        <w:rPr>
          <w:sz w:val="26"/>
          <w:szCs w:val="26"/>
        </w:rPr>
        <w:t xml:space="preserve">КПД2 43.99.40. </w:t>
      </w:r>
      <w:r>
        <w:rPr>
          <w:rFonts w:eastAsia="Calibri"/>
          <w:sz w:val="24"/>
          <w:szCs w:val="24"/>
          <w:lang w:eastAsia="x-none"/>
        </w:rPr>
        <w:t>Текущий ремонт водосливной грани плотины Бурейской ГЭС»</w:t>
      </w:r>
    </w:p>
    <w:p>
      <w:pPr>
        <w:pStyle w:val="Normal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11" w:name="__RefHeading___Toc11658_3732447899"/>
      <w:bookmarkStart w:id="12" w:name="_Toc54646398"/>
      <w:bookmarkStart w:id="13" w:name="_Toc46743507_Копия_1_Копия_1"/>
      <w:bookmarkStart w:id="14" w:name="_Toc46743507_Копия_1"/>
      <w:bookmarkEnd w:id="11"/>
      <w:bookmarkEnd w:id="14"/>
      <w:r>
        <w:rPr/>
        <w:t xml:space="preserve">Цель </w:t>
      </w:r>
      <w:bookmarkEnd w:id="13"/>
      <w:r>
        <w:rPr>
          <w:lang w:val="ru-RU"/>
        </w:rPr>
        <w:t>выполнения работ</w:t>
      </w:r>
      <w:bookmarkEnd w:id="12"/>
    </w:p>
    <w:p>
      <w:pPr>
        <w:pStyle w:val="Normal"/>
        <w:spacing w:before="240" w:after="60"/>
        <w:ind w:left="431" w:hanging="431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134" w:leader="none"/>
        </w:tabs>
        <w:spacing w:before="120" w:after="240"/>
        <w:ind w:firstLine="567"/>
        <w:jc w:val="both"/>
        <w:rPr/>
      </w:pPr>
      <w:r>
        <w:rPr>
          <w:rStyle w:val="Style8"/>
          <w:rFonts w:eastAsia="Calibri"/>
          <w:b w:val="false"/>
          <w:i w:val="false"/>
          <w:sz w:val="24"/>
          <w:szCs w:val="24"/>
          <w:shd w:fill="auto" w:val="clear"/>
          <w:lang w:eastAsia="x-none"/>
        </w:rPr>
        <w:t xml:space="preserve">Целью выполнения данных работ является устранение повреждений бетонной поверхности водосливной грани плотины поверхностного эксплуатационного водосброса и восстановление работоспособности сооружения для осуществления холостых сбросов воды в паводковый период времени. </w:t>
      </w:r>
    </w:p>
    <w:p>
      <w:pPr>
        <w:pStyle w:val="Heading4"/>
        <w:numPr>
          <w:ilvl w:val="1"/>
          <w:numId w:val="3"/>
        </w:numPr>
        <w:rPr/>
      </w:pPr>
      <w:bookmarkStart w:id="15" w:name="__RefHeading___Toc11660_3732447899"/>
      <w:bookmarkStart w:id="16" w:name="_Toc54646399"/>
      <w:bookmarkStart w:id="17" w:name="_Toc46743508_Копия_1"/>
      <w:bookmarkEnd w:id="15"/>
      <w:r>
        <w:rPr/>
        <w:t>Существующее положение</w:t>
      </w:r>
      <w:bookmarkEnd w:id="17"/>
      <w:r>
        <w:rPr>
          <w:lang w:val="ru-RU"/>
        </w:rPr>
        <w:t xml:space="preserve"> </w:t>
      </w:r>
      <w:bookmarkEnd w:id="16"/>
    </w:p>
    <w:p>
      <w:pPr>
        <w:pStyle w:val="Normal"/>
        <w:ind w:left="432" w:hanging="432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1134" w:leader="none"/>
        </w:tabs>
        <w:spacing w:lineRule="atLeast" w:line="283" w:before="120" w:after="240"/>
        <w:ind w:firstLine="567"/>
        <w:jc w:val="both"/>
        <w:rPr/>
      </w:pPr>
      <w:r>
        <w:rPr>
          <w:rStyle w:val="Style8"/>
          <w:rFonts w:eastAsia="Calibri"/>
          <w:b w:val="false"/>
          <w:i w:val="false"/>
          <w:sz w:val="24"/>
          <w:szCs w:val="24"/>
          <w:shd w:fill="auto" w:val="clear"/>
          <w:lang w:eastAsia="x-none"/>
        </w:rPr>
        <w:t xml:space="preserve">Краткое описание существующего положения: </w:t>
      </w:r>
    </w:p>
    <w:p>
      <w:pPr>
        <w:pStyle w:val="Normal"/>
        <w:widowControl w:val="false"/>
        <w:tabs>
          <w:tab w:val="clear" w:pos="720"/>
          <w:tab w:val="left" w:pos="1134" w:leader="none"/>
        </w:tabs>
        <w:spacing w:before="120" w:after="240"/>
        <w:ind w:firstLine="567"/>
        <w:jc w:val="both"/>
        <w:rPr/>
      </w:pPr>
      <w:r>
        <w:rPr>
          <w:rStyle w:val="Style8"/>
          <w:rFonts w:eastAsia="Calibri"/>
          <w:b w:val="false"/>
          <w:i w:val="false"/>
          <w:sz w:val="24"/>
          <w:szCs w:val="24"/>
          <w:shd w:fill="auto" w:val="clear"/>
          <w:lang w:eastAsia="x-none"/>
        </w:rPr>
        <w:t>Из-за чрезмерных гидродинамических нагрузок при осуществлении периодических холостых сбросов воды в паводковый период времени наблюдаются локальные повреждения (разрушения) бетонной наклонной поверхности, появление сколов и трещин, а также разрушения по строительным швам и закладных деталей порогов затворов на водосливной грани плотины поверхностного эксплуатационного водосброса. По результатам периодических осмотров и мониторинга за состоянием водосливного сооружения плотины зафиксированы дефекты, которые подлежат устранению в рамках проведения ремонтно-восстановительных работ для поддержания водосброса в работоспособном эксплуатационном состоянии.</w:t>
      </w:r>
    </w:p>
    <w:p>
      <w:pPr>
        <w:pStyle w:val="Normal"/>
        <w:widowControl w:val="false"/>
        <w:tabs>
          <w:tab w:val="clear" w:pos="720"/>
          <w:tab w:val="left" w:pos="1134" w:leader="none"/>
        </w:tabs>
        <w:spacing w:before="120" w:after="240"/>
        <w:ind w:firstLine="567"/>
        <w:jc w:val="both"/>
        <w:rPr>
          <w:rStyle w:val="Style8"/>
          <w:rFonts w:eastAsia="Calibri"/>
          <w:b w:val="false"/>
          <w:i w:val="false"/>
          <w:i w:val="false"/>
          <w:sz w:val="24"/>
          <w:szCs w:val="24"/>
          <w:shd w:fill="auto" w:val="clear"/>
          <w:lang w:eastAsia="x-none"/>
        </w:rPr>
      </w:pPr>
      <w:r>
        <w:rPr>
          <w:rFonts w:eastAsia="Calibri"/>
          <w:b w:val="false"/>
          <w:i w:val="false"/>
          <w:sz w:val="24"/>
          <w:szCs w:val="24"/>
          <w:shd w:fill="auto" w:val="clear"/>
          <w:lang w:eastAsia="x-none"/>
        </w:rPr>
      </w: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sz w:val="24"/>
          <w:szCs w:val="24"/>
        </w:rPr>
      </w:pPr>
      <w:bookmarkStart w:id="18" w:name="__RefHeading___Toc11662_3732447899"/>
      <w:bookmarkStart w:id="19" w:name="_Toc160466044"/>
      <w:bookmarkEnd w:id="18"/>
      <w:r>
        <w:rPr>
          <w:sz w:val="24"/>
          <w:szCs w:val="24"/>
        </w:rPr>
        <w:t>Таблица 1. Перечень объектов Заказчика</w:t>
      </w:r>
      <w:bookmarkEnd w:id="19"/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8"/>
        <w:gridCol w:w="2601"/>
        <w:gridCol w:w="2670"/>
        <w:gridCol w:w="3828"/>
      </w:tblGrid>
      <w:tr>
        <w:trPr/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(производства работ)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 (в отношении которого выполняются работы)</w:t>
            </w:r>
          </w:p>
        </w:tc>
      </w:tr>
      <w:tr>
        <w:trPr/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227" w:hanging="0"/>
              <w:jc w:val="both"/>
              <w:rPr/>
            </w:pPr>
            <w:r>
              <w:rPr/>
              <w:t>1.</w:t>
            </w:r>
          </w:p>
        </w:tc>
        <w:tc>
          <w:tcPr>
            <w:tcW w:w="2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Бурейская ГЭС</w:t>
            </w:r>
          </w:p>
        </w:tc>
        <w:tc>
          <w:tcPr>
            <w:tcW w:w="2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Российская Федерация,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область, Бурейский район,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Талакан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Плотина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Инв.№ 8_4_8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240"/>
        <w:jc w:val="both"/>
        <w:rPr>
          <w:rStyle w:val="Style8"/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shd w:fill="FFFFFF" w:val="clear"/>
        </w:rPr>
      </w:pPr>
      <w:bookmarkStart w:id="20" w:name="__RefHeading___Toc11664_3732447899"/>
      <w:bookmarkEnd w:id="20"/>
      <w:r>
        <w:rPr>
          <w:shd w:fill="FFFFFF" w:val="clear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firstLine="567"/>
        <w:contextualSpacing/>
        <w:jc w:val="both"/>
        <w:rPr/>
      </w:pPr>
      <w:r>
        <w:rPr>
          <w:sz w:val="24"/>
          <w:szCs w:val="24"/>
        </w:rPr>
        <w:t>Исходя из ресурсов, которыми располагает Заказчик  возможно предоставить Подрядчику: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contextualSpacing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left="1984" w:hanging="1417"/>
        <w:contextualSpacing/>
        <w:rPr>
          <w:sz w:val="24"/>
          <w:szCs w:val="24"/>
        </w:rPr>
      </w:pPr>
      <w:r>
        <w:rPr>
          <w:sz w:val="24"/>
          <w:szCs w:val="24"/>
        </w:rPr>
        <w:t>1.5.1 Вода техническая;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left="1984" w:hanging="1417"/>
        <w:contextualSpacing/>
        <w:rPr>
          <w:sz w:val="24"/>
          <w:szCs w:val="24"/>
        </w:rPr>
      </w:pPr>
      <w:r>
        <w:rPr>
          <w:sz w:val="24"/>
          <w:szCs w:val="24"/>
        </w:rPr>
        <w:t>1.5.2 Электроэнергия;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left="1984" w:hanging="1417"/>
        <w:contextualSpacing/>
        <w:rPr>
          <w:sz w:val="24"/>
          <w:szCs w:val="24"/>
        </w:rPr>
      </w:pPr>
      <w:r>
        <w:rPr>
          <w:sz w:val="24"/>
          <w:szCs w:val="24"/>
        </w:rPr>
        <w:t>1.5.3 Рабочая документация;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left="1984" w:hanging="1417"/>
        <w:contextualSpacing/>
        <w:rPr/>
      </w:pPr>
      <w:r>
        <w:rPr>
          <w:sz w:val="24"/>
          <w:szCs w:val="24"/>
        </w:rPr>
        <w:t>1.5.4 Помещения для размещения персонала/инструмента и складирования материала.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120"/>
        <w:ind w:left="2007" w:hanging="0"/>
        <w:contextualSpacing/>
        <w:jc w:val="both"/>
        <w:rPr/>
      </w:pPr>
      <w:r>
        <w:rPr/>
      </w:r>
    </w:p>
    <w:p>
      <w:pPr>
        <w:pStyle w:val="Heading4"/>
        <w:tabs>
          <w:tab w:val="clear" w:pos="0"/>
          <w:tab w:val="left" w:pos="420" w:leader="none"/>
        </w:tabs>
        <w:ind w:left="0" w:hanging="0"/>
        <w:rPr/>
      </w:pPr>
      <w:bookmarkStart w:id="21" w:name="__RefHeading___Toc11668_3732447899"/>
      <w:bookmarkEnd w:id="21"/>
      <w:r>
        <w:rPr/>
        <w:t xml:space="preserve">2. </w:t>
      </w:r>
      <w:bookmarkStart w:id="22" w:name="_Toc160466046"/>
      <w:r>
        <w:rPr/>
        <w:t xml:space="preserve">Требования </w:t>
      </w:r>
      <w:r>
        <w:rPr>
          <w:lang w:val="ru-RU"/>
        </w:rPr>
        <w:t>к</w:t>
      </w:r>
      <w:r>
        <w:rPr/>
        <w:t xml:space="preserve"> </w:t>
      </w:r>
      <w:bookmarkEnd w:id="22"/>
      <w:r>
        <w:rPr/>
        <w:t xml:space="preserve">выполняемым работам </w:t>
      </w:r>
    </w:p>
    <w:p>
      <w:pPr>
        <w:pStyle w:val="Heading3"/>
        <w:tabs>
          <w:tab w:val="clear" w:pos="0"/>
          <w:tab w:val="left" w:pos="420" w:leader="none"/>
        </w:tabs>
        <w:ind w:left="397" w:hanging="0"/>
        <w:rPr/>
      </w:pPr>
      <w:bookmarkStart w:id="23" w:name="__RefHeading___Toc11670_3732447899"/>
      <w:bookmarkEnd w:id="23"/>
      <w:r>
        <w:rPr/>
        <w:t xml:space="preserve">  </w:t>
      </w:r>
      <w:r>
        <w:rPr/>
        <w:t xml:space="preserve">2.1 </w:t>
      </w:r>
      <w:bookmarkStart w:id="24" w:name="_Toc160466047"/>
      <w:r>
        <w:rPr/>
        <w:t>Требования к видам и объемам работ</w:t>
      </w:r>
      <w:bookmarkEnd w:id="24"/>
    </w:p>
    <w:p>
      <w:pPr>
        <w:pStyle w:val="Normal"/>
        <w:rPr/>
      </w:pPr>
      <w:r>
        <w:rPr/>
      </w: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sz w:val="24"/>
          <w:szCs w:val="24"/>
        </w:rPr>
      </w:pPr>
      <w:bookmarkStart w:id="25" w:name="__RefHeading___Toc11672_3732447899"/>
      <w:bookmarkStart w:id="26" w:name="_Toc160466048"/>
      <w:bookmarkStart w:id="27" w:name="_Toc51339695"/>
      <w:bookmarkEnd w:id="25"/>
      <w:r>
        <w:rPr>
          <w:sz w:val="24"/>
          <w:szCs w:val="24"/>
        </w:rPr>
        <w:t>Таблица 2.  Перечень</w:t>
      </w:r>
      <w:r>
        <w:rPr>
          <w:sz w:val="24"/>
          <w:szCs w:val="24"/>
          <w:lang w:val="ru-RU"/>
        </w:rPr>
        <w:t xml:space="preserve"> и объем</w:t>
      </w:r>
      <w:r>
        <w:rPr>
          <w:sz w:val="24"/>
          <w:szCs w:val="24"/>
        </w:rPr>
        <w:t xml:space="preserve"> </w:t>
      </w:r>
      <w:bookmarkEnd w:id="27"/>
      <w:r>
        <w:rPr>
          <w:sz w:val="24"/>
          <w:szCs w:val="24"/>
        </w:rPr>
        <w:t>выполняемых работ</w:t>
      </w:r>
      <w:bookmarkEnd w:id="26"/>
    </w:p>
    <w:tbl>
      <w:tblPr>
        <w:tblW w:w="9840" w:type="dxa"/>
        <w:jc w:val="left"/>
        <w:tblInd w:w="1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6"/>
        <w:gridCol w:w="4245"/>
        <w:gridCol w:w="2533"/>
        <w:gridCol w:w="2325"/>
      </w:tblGrid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Текущий ремонт водосливной грани плотины Бурейской ГЭС</w:t>
            </w:r>
          </w:p>
        </w:tc>
        <w:tc>
          <w:tcPr>
            <w:tcW w:w="4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ведомостью объемов работ (Приложение № 1 к настоящим ТТ)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120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tabs>
          <w:tab w:val="clear" w:pos="0"/>
          <w:tab w:val="left" w:pos="420" w:leader="none"/>
        </w:tabs>
        <w:ind w:left="737" w:hanging="0"/>
        <w:rPr/>
      </w:pPr>
      <w:bookmarkStart w:id="28" w:name="__RefHeading___Toc11674_3732447899"/>
      <w:bookmarkEnd w:id="28"/>
      <w:r>
        <w:rPr/>
        <w:t xml:space="preserve">2.2 </w:t>
      </w:r>
      <w:bookmarkStart w:id="29" w:name="_Toc160466050"/>
      <w:bookmarkStart w:id="30" w:name="_Toc51339696"/>
      <w:r>
        <w:rPr/>
        <w:t xml:space="preserve">Требования </w:t>
      </w:r>
      <w:bookmarkEnd w:id="30"/>
      <w:r>
        <w:rPr/>
        <w:t>к срокам выполнения работ</w:t>
      </w:r>
      <w:bookmarkEnd w:id="29"/>
    </w:p>
    <w:p>
      <w:pPr>
        <w:pStyle w:val="Normal"/>
        <w:numPr>
          <w:ilvl w:val="0"/>
          <w:numId w:val="0"/>
        </w:numPr>
        <w:tabs>
          <w:tab w:val="clear" w:pos="720"/>
          <w:tab w:val="left" w:pos="420" w:leader="none"/>
        </w:tabs>
        <w:spacing w:before="120" w:after="60"/>
        <w:ind w:left="737" w:hanging="510"/>
        <w:outlineLvl w:val="2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rStyle w:val="Style8"/>
          <w:b/>
          <w:i w:val="false"/>
          <w:i w:val="false"/>
          <w:sz w:val="24"/>
          <w:szCs w:val="24"/>
          <w:shd w:fill="auto" w:val="clear"/>
          <w:lang w:val="ru-RU"/>
        </w:rPr>
      </w:pPr>
      <w:bookmarkStart w:id="31" w:name="__RefHeading___Toc11676_3732447899"/>
      <w:bookmarkStart w:id="32" w:name="_Toc160466051"/>
      <w:bookmarkStart w:id="33" w:name="_Toc51339697"/>
      <w:bookmarkStart w:id="34" w:name="_Toc50125127"/>
      <w:bookmarkEnd w:id="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 </w:t>
      </w:r>
      <w:bookmarkStart w:id="35" w:name="_Hlk50465284"/>
      <w:r>
        <w:rPr>
          <w:sz w:val="24"/>
          <w:szCs w:val="24"/>
        </w:rPr>
        <w:t xml:space="preserve">Требования </w:t>
      </w:r>
      <w:bookmarkEnd w:id="33"/>
      <w:bookmarkEnd w:id="34"/>
      <w:bookmarkEnd w:id="35"/>
      <w:r>
        <w:rPr>
          <w:sz w:val="24"/>
          <w:szCs w:val="24"/>
          <w:lang w:val="ru-RU"/>
        </w:rPr>
        <w:t xml:space="preserve">по срокам выполнения работ </w:t>
      </w:r>
      <w:bookmarkEnd w:id="32"/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7"/>
        <w:gridCol w:w="3704"/>
        <w:gridCol w:w="2269"/>
        <w:gridCol w:w="2977"/>
      </w:tblGrid>
      <w:tr>
        <w:trPr/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(вид работ)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 (Этапа работ)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 (Этапа работ)</w:t>
            </w:r>
          </w:p>
        </w:tc>
      </w:tr>
      <w:tr>
        <w:trPr/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Текущий ремонт водосливной грани плотины Бурейской ГЭС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День,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следующий за днем подписания Договора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Не позднее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15.10</w:t>
            </w:r>
            <w:bookmarkStart w:id="36" w:name="_GoBack"/>
            <w:bookmarkEnd w:id="36"/>
            <w:r>
              <w:rPr>
                <w:sz w:val="24"/>
                <w:szCs w:val="24"/>
              </w:rPr>
              <w:t>.2026 г.</w:t>
            </w:r>
          </w:p>
        </w:tc>
      </w:tr>
    </w:tbl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4"/>
        <w:tabs>
          <w:tab w:val="clear" w:pos="0"/>
          <w:tab w:val="left" w:pos="420" w:leader="none"/>
        </w:tabs>
        <w:ind w:left="0" w:hanging="0"/>
        <w:rPr/>
      </w:pPr>
      <w:bookmarkStart w:id="37" w:name="__RefHeading___Toc11678_3732447899"/>
      <w:bookmarkEnd w:id="37"/>
      <w:r>
        <w:rPr/>
        <w:t xml:space="preserve">         </w:t>
      </w:r>
      <w:r>
        <w:rPr/>
        <w:t xml:space="preserve">2.3 </w:t>
      </w:r>
      <w:bookmarkStart w:id="38" w:name="_Toc51339698"/>
      <w:bookmarkStart w:id="39" w:name="_Toc160466053"/>
      <w:r>
        <w:rPr/>
        <w:t xml:space="preserve">Требования к </w:t>
      </w:r>
      <w:r>
        <w:rPr>
          <w:lang w:val="ru-RU"/>
        </w:rPr>
        <w:t xml:space="preserve">качеству </w:t>
      </w:r>
      <w:bookmarkEnd w:id="39"/>
      <w:r>
        <w:rPr>
          <w:lang w:val="ru-RU"/>
        </w:rPr>
        <w:t>работ</w:t>
      </w: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sz w:val="24"/>
          <w:szCs w:val="24"/>
        </w:rPr>
      </w:pPr>
      <w:bookmarkStart w:id="40" w:name="__RefHeading___Toc11680_3732447899"/>
      <w:bookmarkStart w:id="41" w:name="_Toc160466054"/>
      <w:bookmarkEnd w:id="40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8"/>
      <w:r>
        <w:rPr>
          <w:sz w:val="24"/>
          <w:szCs w:val="24"/>
          <w:lang w:val="ru-RU"/>
        </w:rPr>
        <w:t xml:space="preserve">качеству </w:t>
      </w:r>
      <w:bookmarkEnd w:id="41"/>
      <w:r>
        <w:rPr>
          <w:sz w:val="24"/>
          <w:szCs w:val="24"/>
          <w:lang w:val="ru-RU"/>
        </w:rPr>
        <w:t xml:space="preserve">работ </w:t>
      </w:r>
    </w:p>
    <w:tbl>
      <w:tblPr>
        <w:tblStyle w:val="affffa"/>
        <w:tblW w:w="15360" w:type="dxa"/>
        <w:jc w:val="left"/>
        <w:tblInd w:w="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35"/>
        <w:gridCol w:w="1920"/>
        <w:gridCol w:w="344"/>
        <w:gridCol w:w="6060"/>
        <w:gridCol w:w="1935"/>
        <w:gridCol w:w="2146"/>
        <w:gridCol w:w="2219"/>
      </w:tblGrid>
      <w:tr>
        <w:trPr/>
        <w:tc>
          <w:tcPr>
            <w:tcW w:w="73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64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060" w:type="dxa"/>
            <w:vMerge w:val="restart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081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21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35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64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060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</w:t>
            </w:r>
          </w:p>
        </w:tc>
        <w:tc>
          <w:tcPr>
            <w:tcW w:w="2219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6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060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360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2.3.1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  <w:shd w:fill="FFFF99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324" w:type="dxa"/>
            <w:gridSpan w:val="3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113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Производство  ремонтных работ осуществляется в соответствии с настоящими Техническими требованиями;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выполняются в соответствии с ведомостью объемов работ (Приложение № 1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качестве средств доступа к месту производства работ на высоте должно использоваться сертифицированное альпинистское снаряжение (средства индивидуальной защиты) соответствующее международным стандартам, это: веревки и канаты, карабины  и зажимы, а также устройства для спуска и подъема. При подборе снаряжения должна быть учтена специфика выполнения ремонтных работ, т. е. ремонт водосливной бетонной грани плотины в отм. 161.00 м. - 265.00 м. Максимальная высота в зоне          выполнения работ составляет  h=104,0 м. Средства индивидуальной защиты (защитные каски, перчатки, рабочая спецодежда и обувь и т.д.) должны быть подходящими и удобными для выполнения данного вида работ. Перед использованием средств индивидуальной защиты необходимо провести визуальный осмотр - убедиться, что отсутствуют повреждения (трещины,          разрывы, деформации). Если обнаружены дефекты, то их не применяют до их устранения или выбраковки;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Производство работ осуществляется на территории действующего энергетического предприятия без остановки          технологического процесса;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выполняются по Акту-допуску в соответствии с разработанными Подрядчиком: проектом производства работ (ППР),          планом производства работ на высоте (ППРв) , технологической картой и календарным графиком производства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       Предусмотрены 3% на непредвиденные расходы.</w:t>
            </w:r>
          </w:p>
        </w:tc>
        <w:tc>
          <w:tcPr>
            <w:tcW w:w="1935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2.3.2</w:t>
            </w:r>
          </w:p>
        </w:tc>
        <w:tc>
          <w:tcPr>
            <w:tcW w:w="2264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060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технической эксплуатации электрических станций и сетей РФ, утвержденные приказом  от  04 октября 2022 № 1070 Минэнерго Российской Федерации;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организации технического обслуживания и ремонта объектов электроэнергетики. Утверждены приказом Минэнерго России от 25.10.2017 № 1013, зарегистрированы в Минюсте России 26.03.2018  № 50503;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эксплуатации электроустановок. Утверждены приказом Минтруда России  от 15.12.2020 № 903н;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работе на высоте. Утверждены приказом Минтруда России от 16.11.2020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782н (с 01 сентября 2025 г. действует редакция приказа от 29.04.2025 г.);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строительстве, реконструкции и ремонте. Утверждены приказом          Минтруда России от 11.12.2020 № 883н;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работе с инструментом и приспособлениями. Утверждены приказом   Минтруда России от 27.11.2020 № 835н;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погрузочно-разгрузочных работах и размещении грузов. Утверждены приказом Минтруда России от 28.10.2020 № 753н;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Правила противопожарного режима в Российской Федерации. Утверждены Постановлением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Правительства РФ от 16.09.2020 № 1479;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ГОСТ 10180-90 «Бетоны. Методы определения прочности по контрольным образцам».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/>
            </w:pPr>
            <w:r>
              <w:rPr>
                <w:rStyle w:val="Strong"/>
                <w:rFonts w:eastAsia="Calibri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СП 435.1325800.2018 «Конструкции бетонные и железобетонные монолитные. Правила производства 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/>
            </w:pPr>
            <w:r>
              <w:rPr>
                <w:rStyle w:val="Strong"/>
                <w:rFonts w:eastAsia="Calibri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приёмки работ»;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Style w:val="Strong"/>
                <w:rFonts w:eastAsia="Calibri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eastAsia="Calibri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СП 70.13330.2012. «Несущие и ограждающие конструкции»;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113" w:hanging="0"/>
              <w:jc w:val="both"/>
              <w:rPr>
                <w:rStyle w:val="Strong"/>
                <w:rFonts w:eastAsia="Calibri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eastAsia="Calibri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СП 48.13330.2019 «Организация строительства. Актуализированная редакция СНиП 12-01-2004».</w:t>
            </w:r>
          </w:p>
        </w:tc>
        <w:tc>
          <w:tcPr>
            <w:tcW w:w="1935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2.3.3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 обязан обеспечить наличие системы контроля качества работ с приложением копии приказов о назначении ответственных лиц за организацию контроля качества, инструкций</w:t>
            </w:r>
          </w:p>
        </w:tc>
        <w:tc>
          <w:tcPr>
            <w:tcW w:w="1935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2.3.4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 обязан обеспечить строительный контроль за качеством выполняемых работ, который осуществляется назначенным по приказу представителем Подрядчика и представителем Заказчика. Данные результатов строительного контроля должны фиксироваться в журнале производства работ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.</w:t>
            </w:r>
          </w:p>
        </w:tc>
        <w:tc>
          <w:tcPr>
            <w:tcW w:w="1935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2.3.5</w:t>
            </w:r>
          </w:p>
        </w:tc>
        <w:tc>
          <w:tcPr>
            <w:tcW w:w="2264" w:type="dxa"/>
            <w:gridSpan w:val="2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должен обеспечить:</w:t>
            </w:r>
          </w:p>
        </w:tc>
        <w:tc>
          <w:tcPr>
            <w:tcW w:w="6060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Персонал Подрядчика обеспечивает поддержание чистоты на рабочих местах, своевременную уборку зоны выполнения ремонтных работ и ликвидацию отходов по окончании Работ;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Образовавшиеся в процессе выполнения работ отходы Подрядчик временно накапливает в месте производства работ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Федерации, а также требованиями, установленными локальной нормативной документацией в области обращения с отходами Заказчика (инструкциями, положениями и др.). По окончании работ Подрядчик перемещает временно накопленные на месте производства работ отходы в указанные Заказчиком места накопления отходов на его территории Приложение № 5;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Отходы, образующиеся в результате деятельности Подрядчика, не связанной с исполнением работ, в том числе отходы, образующиеся в процессе административно - хозяйственной деятельности персонала Подрядчика на территории Филиала, являются собственностью Подрядчика. Деятельность по обращению с такими отходами, а также связанная с этим ответственность, является обязанностью Подрядчика;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Не допускается накопление отходов сверх объема, который вмещает место накопления отходов;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 Подрядчик заблаговременно письменно уведомляет Заказчика о необходимости выполнения дополнительных Работ.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  Подрядчик представляет Заказчику по его запросу письменный отчет о текущем исполнении своих обязательств по договору подряда.</w:t>
            </w:r>
          </w:p>
        </w:tc>
        <w:tc>
          <w:tcPr>
            <w:tcW w:w="1935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317" w:leader="none"/>
              </w:tabs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2.4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2.4.1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работ осуществляется на основании утвержденного Подрядчиком проектами производства работ (ППР), планом производства работ на высоте (ППРв) согласованного с Заказчиком и технологической картой, учитывающей характер и специфику выполняемых ремонтных работ;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</w:t>
            </w:r>
            <w:r>
              <w:rPr>
                <w:rStyle w:val="Style8"/>
                <w:rFonts w:eastAsia="Times New Roman" w:cs="Times New Roman"/>
                <w:b w:val="false"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пределяет и согласовывает со службами Заказчика места подключения временных коммуникаций (технические условия на подключение выдаются после получения от Подрядчика официального запроса с указанием потребности в ресурсах в количественных и качественных показателях);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/>
            </w:pPr>
            <w:r>
              <w:rPr>
                <w:rStyle w:val="Style8"/>
                <w:rFonts w:eastAsia="Times New Roman" w:cs="Times New Roman"/>
                <w:b w:val="false"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при необходимости о</w:t>
            </w:r>
            <w:r>
              <w:rPr>
                <w:rStyle w:val="Style8"/>
                <w:rFonts w:eastAsia="Times New Roman" w:cs="Times New Roman"/>
                <w:b w:val="false"/>
                <w:i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рганизовывает проведение совместного технического совещания с участием профильных служб Заказчика по вопросам  организации работ и решением текущих вопросов, связанных с их выполнением;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/>
            </w:pPr>
            <w:r>
              <w:rPr>
                <w:rStyle w:val="Style8"/>
                <w:rFonts w:eastAsia="Times New Roman" w:cs="Times New Roman"/>
                <w:b w:val="false"/>
                <w:i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Заказчик обеспечивает персонал Подрядчика бытовыми помещениями при наличии такой возможности и определяет места для складирования материала и инструмента;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/>
            </w:pPr>
            <w:r>
              <w:rPr>
                <w:rStyle w:val="Style8"/>
                <w:rFonts w:eastAsia="Times New Roman" w:cs="Times New Roman"/>
                <w:b w:val="false"/>
                <w:i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Персонал Подрядчика обеспечивает поддержание чистоты на рабочих местах, своевременную уборку и утилизацию отходов по окончании выполнения работ. Места сбора для складирования строительных отходов и мусора с целью последующего вывоза на утилизацию определяет Заказчик;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0"/>
              <w:contextualSpacing/>
              <w:jc w:val="both"/>
              <w:rPr/>
            </w:pPr>
            <w:r>
              <w:rPr>
                <w:rStyle w:val="Style8"/>
                <w:rFonts w:eastAsia="Times New Roman" w:cs="Times New Roman"/>
                <w:b w:val="false"/>
                <w:i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подготавливает объект к сдаче-приемке: демонтирует временные сети электроснабжения, наводит порядок в переданных по акту бытовых, складских и подсобных помещениях, производит разборку ограждений, осуществляет  вывоз с производственной территории оборудования, инструмента и  строительного мусора.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2.4.2</w:t>
            </w:r>
          </w:p>
        </w:tc>
        <w:tc>
          <w:tcPr>
            <w:tcW w:w="226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6060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Допуск персонала Подрядчика для выполнения работ должен осуществляться в соответствии с Регламентом процесса «Допуск персонала Подрядных организаций на объекты ПАО «РусГидро», утвержденного приказом ПАО «РусГидро» от 28.04.2023 № 300 (методика)  (Приложение № 2 к настоящим ТТ);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2.4.3</w:t>
            </w:r>
          </w:p>
        </w:tc>
        <w:tc>
          <w:tcPr>
            <w:tcW w:w="2264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Материально- техническое оснащение</w:t>
            </w:r>
          </w:p>
        </w:tc>
        <w:tc>
          <w:tcPr>
            <w:tcW w:w="6060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у Подрядчика минимально необходимого перечня оборудования и СИЗ для безопасного проведения работ: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Угловая шлифовальная машина (УШМ) не менее 1 ед.;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Электрический отбойный молоток не менее 1ед.;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Электрический перфоратор не менее 1 ед.;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Снаряжение для промышленного альпинизма (включая необходимые СИЗы) не менее 2-х комплектов.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6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2.5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 и материалам, технологиям, программно-аппаратным средствам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>
          <w:trHeight w:val="936" w:hRule="atLeast"/>
        </w:trPr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2.5.1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своими силами обеспечивает закупку, приемку, транспортировку, разгрузку и складирование поступающих на объект строительных материалов.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2.5.2</w:t>
            </w:r>
          </w:p>
        </w:tc>
        <w:tc>
          <w:tcPr>
            <w:tcW w:w="2264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используемым запасным частям и материалам</w:t>
            </w:r>
          </w:p>
        </w:tc>
        <w:tc>
          <w:tcPr>
            <w:tcW w:w="6060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Подрядчик должен применять материалы, указанные в ВОР (Приложение № 1 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Строительные материалы должны по качеству должны соответствовать действующим на момент поставки ТУ или ГОСТ, указанным в соответствующих сертификатах.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2.6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2.6.1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обеспечивает входной контроль поступивших материалов и изделий в соответствии с методическими указаниями входного контроля по требованию приложения № 3;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Входной контроль должен включать в себя: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Наличия соответствующих сертификатов соответствия;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              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Наличия маркировки, сохранности упаковки, защитных покрытий и т.п;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Правильности складирования и хранения;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Комплектность поставляемых материалов.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должен осуществлять строительный контроль в соответствии с СП 48. 13330.2019 «Организация  строительства» Постановления  Правительства РФ от 21 июня 2010 г. N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троительный контроля Подрядчиком и Заказчиком осуществляется в соответствии с:</w:t>
            </w:r>
          </w:p>
          <w:p>
            <w:pPr>
              <w:pStyle w:val="Normal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735" w:leader="none"/>
              </w:tabs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Приказом филиала ПАО «РусГидро»-«Бурейская ГЭС» № 226 от 26.09.2017  «Положение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строительства», приказом филиала ПАО «РусГидро»-«Бурейская ГЭС» № БГЭС/78-200 от 08.04.22 «О внесении изменений в Приказ № 226 от 26.09.2017»;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Приказом  от 02.12.2022 №1026/пр «Утверждение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 – в части ведения журналов работ;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Приказом от 16.05.2023 №344/пр  «Утверждение состава и порядка ведения  исполнительной документации при строительстве, реконструкции, капитальном ремонте объектов капитального строительства » – в части применения формы  актов.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ind w:left="113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490" w:hRule="atLeast"/>
        </w:trPr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2.7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2.7.1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620" w:leader="none"/>
              </w:tabs>
              <w:suppressAutoHyphens w:val="true"/>
              <w:spacing w:before="60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 начала выполнения работ в рамках исполнения договора после его заключения Исполнитель предоставляет 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(безопасным методам и приемам выполнения работ на высоте, грузоподъемных, работ с электро - и пневмоинструментом) (возможно совмещение специальностей).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30" w:leader="none"/>
              </w:tabs>
              <w:suppressAutoHyphens w:val="true"/>
              <w:spacing w:before="60" w:after="0"/>
              <w:ind w:left="113" w:firstLine="624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Требуемый минимальный состав персонала Подрядчика для выполнения работ: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620" w:leader="none"/>
              </w:tabs>
              <w:suppressAutoHyphens w:val="true"/>
              <w:spacing w:before="6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Инженерно-технический работник (ИТР) по наряду – 1 человек (группа по электробезопасности не ниже 2 гр., ответственный за производство работ на высоте 3 гр. по безопасности работ на высоте). Должен обладать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необходимой и достаточной компетентностью (обученностью), соответствующей характеру выполняемых работ;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620" w:leader="none"/>
              </w:tabs>
              <w:suppressAutoHyphens w:val="true"/>
              <w:spacing w:before="6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Промышленный альпинист - 2 чел. (должен иметь не ниже 2 гр. по электробезопасности).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20" w:leader="none"/>
                <w:tab w:val="left" w:pos="738" w:leader="none"/>
              </w:tabs>
              <w:suppressAutoHyphens w:val="true"/>
              <w:spacing w:before="60" w:after="0"/>
              <w:ind w:left="227" w:firstLine="454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Окончательная потребность в кадровых ресурсах и численности персонала определяется при разработке проекта производства работ (ППР).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620" w:leader="none"/>
              </w:tabs>
              <w:suppressAutoHyphens w:val="true"/>
              <w:spacing w:before="60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2.8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выполнения работ и охране труда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2.8.1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25" w:leader="none"/>
              </w:tabs>
              <w:suppressAutoHyphens w:val="true"/>
              <w:spacing w:before="62" w:after="0"/>
              <w:ind w:left="680" w:right="567" w:hanging="624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Выполняемые работы должны проводиться современными способами и средствами, которые не должны наносить ущерб и повреждения оборудованию и инженерным коммуникациям;</w:t>
            </w:r>
          </w:p>
          <w:p>
            <w:pPr>
              <w:pStyle w:val="Normal"/>
              <w:widowControl w:val="false"/>
              <w:numPr>
                <w:ilvl w:val="0"/>
                <w:numId w:val="15"/>
              </w:numPr>
              <w:suppressAutoHyphens w:val="true"/>
              <w:spacing w:before="62" w:after="0"/>
              <w:ind w:left="340" w:right="227" w:hanging="227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Запрещается осуществление ремонтных работ без утвержденного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340" w:right="227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Подрядчиком и согласованного с Заказчиком ППР;</w:t>
            </w:r>
          </w:p>
          <w:p>
            <w:pPr>
              <w:pStyle w:val="Normal"/>
              <w:widowControl w:val="false"/>
              <w:numPr>
                <w:ilvl w:val="0"/>
                <w:numId w:val="15"/>
              </w:numPr>
              <w:suppressAutoHyphens w:val="true"/>
              <w:spacing w:before="62" w:after="0"/>
              <w:ind w:left="340" w:right="227" w:hanging="227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Производитель работ обязан знать и строго соблюдать требования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340" w:right="227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 по охране труда в строительстве, обеспечивать в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340" w:right="227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процессе ремонтных работ выполнение строительных норм и правил,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340" w:right="227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стандартов, ССБТ, проекта производства работ,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340" w:right="227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должностных инструкций на объекте;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4.     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Работа выполняется в соответствии с: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4.1 «Правилами по охране труда при строительстве, реконструкции и ремонте, утверждены приказом Минтруда России от  11.12.2020 № 883н»;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4.2  «Правилами по охране труда при эксплуатации электроустановок», утверждены приказом от 15 декабря 2020 года № 903н;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4.3  «Правилами по охране труда при погрузочно-разгрузочных работах», утверждены приказом Минтруда России от 28 октября 2020 г. № 753н;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4.4  «Правилами по охране труда при работе с инструментом и приспособлениями», утверждены приказом Минтруда России от  27 ноября 2020 г. № 835н;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4.5 «Правилами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4.6  «Правилами по охране труда при работе на высоте (Утверждены приказом Минтруда и соцзащиты РФ от 16.11.2020 № 782н,       зарегистрировано в Минюсте России 15.12.2020 г. № 61477);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4.7  «Правилами пожарной безопасности для энергетических предприятий РД153-34.0-03.301-00;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firstLine="567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4.8  Федеральные нормы и правила в области промышленной безопасности «Правила безопасности опасных производственных       объектов, на которых используются подъемные сооружения». Утверждены приказом Ростехнадзора от 26.11.2020 N 461;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4.9  СНиП 12-03-2001 «Безопасность труда в строительстве» ч.1,2; (в части не противоречащим правилам по охране труда при                строительстве, реконструкции и ремонте);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4.10  СТО РусГидро 01.02.132-2015 «Гидроэлектростанции. Контроль качества производства работ в процессе строительства. Нормы и требования».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225" w:leader="none"/>
              </w:tabs>
              <w:suppressAutoHyphens w:val="true"/>
              <w:spacing w:before="62" w:after="0"/>
              <w:ind w:left="680" w:right="567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3.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3.1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Устранение дефектов конструкции наклонной водосливной грани плотины поверхностного эксплуатационного водосброса с целью защиты от кавитационной эрозии и приведения сооружения в нормативное проектное состояния для осуществления холостых сбросов воды в паводковый период</w:t>
            </w:r>
          </w:p>
        </w:tc>
        <w:tc>
          <w:tcPr>
            <w:tcW w:w="1935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4.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4.1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Оформление отчетной документации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Отчётные документы по выполнению работ представить на бумажном носителе в 2 экземплярах на русском языке, а также электронном носителе в 1 экземпляре в форматах *.dwg, *.vsd, * .PDF, AlterOffice (AText, ACell), Microsoft Office (Word, Excel).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4.2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и сдача их результата будут производиться в соответствии с действующими нормами и правилами на данный тип работ, а также в соответствии с условиями проекта договора. Минимальный состав передаваемой Подрядчиком подписанной всеми участниками технической документации: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  ППР. ППРв;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 Технологические карты (при наличии , согласно характеру выполняемых работ);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  Общий журнал работ (допускается ведение журнала в электронном виде);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  Акты освидетельствования скрытых работ;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   Акты выполненных работ;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 Акты осуществления контрольных мероприятий входящего контроля материалов и изделий;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   Журнал входящего контроля материалов;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8.  Исполнительная схема с привязкой (указанием осей, высотных отметок, площади дефекта) мест устраняемых дефектов и объемами выполненных работ;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10. Паспорта качества, сертификаты соответствия на поставленные строительные материалы;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11. Фотофиксация (фотографии в качестве приложений) мест устраняемых дефектов до и после выполнения ремонтных работ с привязкой их к исполнительной схеме;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 Копии Акта-допуска и Наряда-допуска на выполнение ремонтных работ.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5.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5.1</w:t>
            </w:r>
          </w:p>
        </w:tc>
        <w:tc>
          <w:tcPr>
            <w:tcW w:w="8324" w:type="dxa"/>
            <w:gridSpan w:val="3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выполненных работ составляет 24 (двадцать четыре) месяца, со дня подписания Акт приемки выполненных работ.</w:t>
            </w:r>
          </w:p>
        </w:tc>
        <w:tc>
          <w:tcPr>
            <w:tcW w:w="1935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6.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обязательствам Подрядчика, влияющим на исполнение договора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6.1</w:t>
            </w:r>
          </w:p>
        </w:tc>
        <w:tc>
          <w:tcPr>
            <w:tcW w:w="1920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6404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необходимости по предварительному письменному согласованию с Заказчиком заключать договоры субподряда, неся при этом ответственность за действия Субподрядчика, как за свои собственные.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20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404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следующие документы, подтверждающие соответствие их квалификационного уровня, а также готовность и возможность выполнения ими работ: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uppressAutoHyphens w:val="true"/>
              <w:spacing w:before="0" w:after="0"/>
              <w:ind w:left="113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Проект договора с Субподрядчиком;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uppressAutoHyphens w:val="true"/>
              <w:spacing w:before="0" w:after="0"/>
              <w:ind w:left="113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Сведения об объемах выполнения работ Субподрядчиком;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uppressAutoHyphens w:val="true"/>
              <w:spacing w:before="0" w:after="0"/>
              <w:ind w:left="113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Пофамильный перечень персонала, который будет задействован при производстве работ;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uppressAutoHyphens w:val="true"/>
              <w:spacing w:before="0" w:after="0"/>
              <w:ind w:left="113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Копии документов, подтверждающих наличие у Субподрядчика и его персонала допусков,          разрешений и лицензий, необходимых для выполнения работ.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6.2</w:t>
            </w:r>
          </w:p>
        </w:tc>
        <w:tc>
          <w:tcPr>
            <w:tcW w:w="1920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Иные требования к Подрядчику и его обязательствам, влияющим на исполнение договора</w:t>
            </w:r>
          </w:p>
        </w:tc>
        <w:tc>
          <w:tcPr>
            <w:tcW w:w="6404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 требованию и в сроки, установленные Заказчиком, своими силами, средствами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период. Подрядчик должен незамедлительно приступить к устранению недостатков, о которых ему стало известно.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7.</w:t>
            </w:r>
          </w:p>
        </w:tc>
        <w:tc>
          <w:tcPr>
            <w:tcW w:w="8324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7.1</w:t>
            </w:r>
          </w:p>
        </w:tc>
        <w:tc>
          <w:tcPr>
            <w:tcW w:w="1920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Иные условия производства работ</w:t>
            </w:r>
          </w:p>
        </w:tc>
        <w:tc>
          <w:tcPr>
            <w:tcW w:w="6404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Перечень ресурсов, предоставляемых филиалом Подрядным организациям для выполнения ими работ по договорам-подряда: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Электроэнергия;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Техническая вода;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Помещения для размещения персонала/ инструмента и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складирования материала.</w:t>
            </w:r>
          </w:p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935" w:type="dxa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46" w:type="dxa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ind w:left="113" w:hanging="0"/>
              <w:contextualSpacing/>
              <w:jc w:val="center"/>
              <w:rPr>
                <w:b/>
                <w:color w:val="000000"/>
                <w:sz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21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2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lang w:val="ru-RU"/>
        </w:rPr>
      </w:pPr>
      <w:bookmarkStart w:id="42" w:name="__RefHeading___Toc11686_3732447899"/>
      <w:bookmarkEnd w:id="42"/>
      <w:r>
        <w:rPr/>
        <w:t xml:space="preserve">     </w:t>
      </w:r>
      <w:r>
        <w:rPr/>
        <w:t xml:space="preserve">8.  </w:t>
      </w:r>
      <w:bookmarkStart w:id="43" w:name="_Toc54646411"/>
      <w:bookmarkStart w:id="44" w:name="_Toc53393312"/>
      <w:r>
        <w:rPr>
          <w:lang w:val="ru-RU"/>
        </w:rPr>
        <w:t>Требования к документации по ценообразованию</w:t>
      </w:r>
      <w:bookmarkEnd w:id="43"/>
      <w:bookmarkEnd w:id="44"/>
      <w:r>
        <w:rPr>
          <w:lang w:val="ru-RU"/>
        </w:rPr>
        <w:t xml:space="preserve"> на этапе закупки</w:t>
      </w:r>
    </w:p>
    <w:p>
      <w:pPr>
        <w:pStyle w:val="Normal"/>
        <w:jc w:val="both"/>
        <w:rPr/>
      </w:pPr>
      <w:r>
        <w:rPr>
          <w:b/>
          <w:bCs/>
          <w:sz w:val="24"/>
          <w:szCs w:val="24"/>
          <w:lang w:val="x-none" w:eastAsia="x-none"/>
        </w:rPr>
        <w:t xml:space="preserve">      </w:t>
      </w:r>
      <w:r>
        <w:rPr>
          <w:sz w:val="24"/>
          <w:szCs w:val="24"/>
          <w:lang w:val="x-none" w:eastAsia="x-none"/>
        </w:rPr>
        <w:t>В обоснование стоимости своей заявки Участник предоставляет Коммерческое предложение по установленной в Документации о закупке форме (с учетом прилагаемых к ней инструкций по заполнению).</w:t>
      </w:r>
    </w:p>
    <w:p>
      <w:pPr>
        <w:pStyle w:val="Normal"/>
        <w:jc w:val="both"/>
        <w:rPr/>
      </w:pPr>
      <w:r>
        <w:rPr>
          <w:sz w:val="24"/>
          <w:szCs w:val="24"/>
          <w:lang w:val="x-none" w:eastAsia="x-none"/>
        </w:rPr>
        <w:t xml:space="preserve">    </w:t>
      </w:r>
      <w:r>
        <w:rPr>
          <w:sz w:val="24"/>
          <w:szCs w:val="24"/>
          <w:lang w:val="x-none" w:eastAsia="x-none"/>
        </w:rPr>
        <w:t>Дополнительные документы по ценообразованию (сметная документация) в состав заявки Участника не включаются</w:t>
      </w:r>
      <w:r>
        <w:rPr>
          <w:lang w:val="x-none" w:eastAsia="x-none"/>
        </w:rPr>
        <w:t>.</w:t>
      </w:r>
      <w:r>
        <w:rPr/>
        <w:t xml:space="preserve">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Cs/>
        </w:rPr>
      </w:pPr>
      <w:r>
        <w:rPr/>
        <w:t xml:space="preserve">    </w:t>
      </w:r>
      <w:r>
        <w:rPr>
          <w:b/>
          <w:bCs/>
        </w:rPr>
        <w:t>9. Требования к документации по ценообразованию на этапе заключения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  <w:t xml:space="preserve">       </w:t>
      </w:r>
      <w:r>
        <w:rPr>
          <w:b/>
          <w:bCs/>
        </w:rPr>
        <w:t>(исполнения) договора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9.1. По результатам настоящей закупки заключается договор с предельной ценой, указанной в заявке Участника, с которым принято решение заключить договор.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9.2. В рамках реализации договора Подрядчику необходимо составлять и оформлять сметную документацию в обоснование стоимости работ в соответствии с требованиями, указанными в приложении № 4 к настоящим Техническим требованиям.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9.3. В случае если стоимость по смете, выданной в производство работ,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9.4. В случае если стоимость по смете, выданной в производство 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9.5. В сметной документации предусмотреть резерв средств на непредвиденные работы и затраты в размере 3%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9.6.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4 к настоящим Техническим требованиям.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b/>
          <w:bCs/>
        </w:rPr>
        <w:t>10.   Квалификация (предпочтительность) участника</w:t>
      </w:r>
    </w:p>
    <w:p>
      <w:pPr>
        <w:pStyle w:val="Normal"/>
        <w:jc w:val="both"/>
        <w:rPr/>
      </w:pPr>
      <w:r>
        <w:rPr>
          <w:b/>
          <w:bCs/>
        </w:rPr>
        <w:t xml:space="preserve">                            </w:t>
      </w:r>
    </w:p>
    <w:p>
      <w:pPr>
        <w:pStyle w:val="Normal"/>
        <w:rPr>
          <w:b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10.1  Требования к квалификации Участника закупки представлены в таблице  5.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Таблица 5. Перечень квалификационных требований.</w:t>
      </w:r>
    </w:p>
    <w:tbl>
      <w:tblPr>
        <w:tblW w:w="9705" w:type="dxa"/>
        <w:jc w:val="left"/>
        <w:tblInd w:w="201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6"/>
        <w:gridCol w:w="3695"/>
        <w:gridCol w:w="5274"/>
      </w:tblGrid>
      <w:tr>
        <w:trPr/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Требование к Участнику</w:t>
            </w:r>
          </w:p>
        </w:tc>
        <w:tc>
          <w:tcPr>
            <w:tcW w:w="5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ListParagraph"/>
              <w:widowControl w:val="false"/>
              <w:ind w:left="340" w:hanging="113"/>
              <w:rPr/>
            </w:pPr>
            <w:r>
              <w:rPr>
                <w:lang w:val="en-US"/>
              </w:rPr>
              <w:t>1.</w:t>
            </w:r>
          </w:p>
        </w:tc>
        <w:tc>
          <w:tcPr>
            <w:tcW w:w="3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наличию опыта: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Участнику закупки в качестве повышения предпочтительности своей заявки </w:t>
            </w:r>
            <w:r>
              <w:rPr>
                <w:b/>
                <w:sz w:val="24"/>
                <w:szCs w:val="24"/>
              </w:rPr>
              <w:t>рекомендуется предоставить</w:t>
            </w:r>
            <w:r>
              <w:rPr>
                <w:sz w:val="24"/>
                <w:szCs w:val="24"/>
              </w:rPr>
              <w:t xml:space="preserve"> сведения для оценки Участника по не ценовому критерию: Наличие опыта  по выполнению общестроительных работ на высоте методом промышленного альпинизма, при этом участником должны быть исполнены обязательства в общем (совокупном) объеме не менее 50 % от НМЦ лота за последние 5 (Пять) лет, предшествующих дате подачи заявок.</w:t>
            </w:r>
          </w:p>
        </w:tc>
        <w:tc>
          <w:tcPr>
            <w:tcW w:w="5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</w:p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• </w:t>
            </w:r>
            <w:r>
              <w:rPr>
                <w:iCs/>
                <w:sz w:val="24"/>
                <w:szCs w:val="24"/>
              </w:rPr>
              <w:t>копии договоров, подписанных с обеих сторон;</w:t>
            </w:r>
          </w:p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• </w:t>
            </w:r>
            <w:r>
              <w:rPr>
                <w:iCs/>
                <w:sz w:val="24"/>
                <w:szCs w:val="24"/>
              </w:rPr>
              <w:t>копии Актов к договору, подписанных с обеих сторон, или иных документов, подписанных с обеих сторон, свидетельствующих о выполнении работ/услуг в рамках каждого предоставленного договора.</w:t>
            </w:r>
          </w:p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>
      <w:pPr>
        <w:pStyle w:val="Heading1"/>
        <w:tabs>
          <w:tab w:val="clear" w:pos="0"/>
          <w:tab w:val="left" w:pos="420" w:leader="none"/>
        </w:tabs>
        <w:ind w:left="0" w:hanging="0"/>
        <w:rPr>
          <w:lang w:val="ru-RU"/>
        </w:rPr>
      </w:pPr>
      <w:r>
        <w:rPr/>
        <w:t xml:space="preserve">     </w:t>
      </w:r>
    </w:p>
    <w:p>
      <w:pPr>
        <w:pStyle w:val="Heading1"/>
        <w:tabs>
          <w:tab w:val="clear" w:pos="0"/>
          <w:tab w:val="left" w:pos="420" w:leader="none"/>
        </w:tabs>
        <w:ind w:left="0" w:hanging="0"/>
        <w:rPr>
          <w:lang w:val="ru-RU"/>
        </w:rPr>
      </w:pPr>
      <w:r>
        <w:rPr/>
        <w:t xml:space="preserve">  </w:t>
      </w:r>
      <w:r>
        <w:rPr/>
        <w:t xml:space="preserve">11. </w:t>
      </w:r>
      <w:bookmarkStart w:id="45" w:name="_Toc162286595"/>
      <w:r>
        <w:rPr/>
        <w:t>Приложения</w:t>
      </w:r>
      <w:bookmarkEnd w:id="45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bCs/>
          <w:color w:val="000000"/>
        </w:rPr>
        <w:t>Приложение  № 1. В</w:t>
      </w:r>
      <w:r>
        <w:rPr>
          <w:rFonts w:eastAsia="Times New Roman"/>
          <w:bCs/>
          <w:color w:val="000000"/>
        </w:rPr>
        <w:t>едомость объемов работ;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 xml:space="preserve">Приложение №  2. Методика допуска персонала подрядных организаций к выполнению 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 xml:space="preserve">                                 </w:t>
      </w:r>
      <w:r>
        <w:rPr>
          <w:rFonts w:eastAsia="Times New Roman"/>
          <w:bCs/>
          <w:color w:val="000000"/>
        </w:rPr>
        <w:t>работ на объектах Общества;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>Приложение №  3. Методические рекомендации входного контроля;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>Приложение №  4. Т</w:t>
      </w:r>
      <w:bookmarkStart w:id="46" w:name="_Hlk124855937"/>
      <w:r>
        <w:rPr>
          <w:rFonts w:eastAsia="Times New Roman"/>
          <w:bCs/>
          <w:color w:val="000000"/>
        </w:rPr>
        <w:t xml:space="preserve">ребования к оформлению и составлению сметной документации на 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 xml:space="preserve">                                 </w:t>
      </w:r>
      <w:r>
        <w:rPr>
          <w:rFonts w:eastAsia="Times New Roman"/>
          <w:bCs/>
          <w:color w:val="000000"/>
        </w:rPr>
        <w:t xml:space="preserve">работы по программе ремонтов </w:t>
      </w:r>
      <w:bookmarkEnd w:id="46"/>
      <w:r>
        <w:rPr>
          <w:rFonts w:eastAsia="Times New Roman"/>
          <w:bCs/>
          <w:color w:val="000000"/>
        </w:rPr>
        <w:t>;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>
          <w:rFonts w:eastAsia="Times New Roman"/>
          <w:bCs/>
          <w:color w:val="000000"/>
        </w:rPr>
        <w:t>Приложение № 5.  Инструкция по обращению с отходами.</w:t>
      </w:r>
    </w:p>
    <w:p>
      <w:pPr>
        <w:pStyle w:val="ListParagraph"/>
        <w:tabs>
          <w:tab w:val="clear" w:pos="720"/>
          <w:tab w:val="left" w:pos="913" w:leader="none"/>
          <w:tab w:val="left" w:pos="963" w:leader="none"/>
        </w:tabs>
        <w:ind w:left="340" w:hanging="0"/>
        <w:jc w:val="both"/>
        <w:rPr/>
      </w:pPr>
      <w:r>
        <w:rPr/>
      </w:r>
    </w:p>
    <w:p>
      <w:pPr>
        <w:pStyle w:val="Normal"/>
        <w:rPr>
          <w:b/>
          <w:bCs/>
          <w:sz w:val="24"/>
          <w:szCs w:val="24"/>
        </w:rPr>
      </w:pPr>
      <w:r>
        <w:rPr/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>
          <w:bCs/>
          <w:sz w:val="24"/>
          <w:szCs w:val="24"/>
        </w:rPr>
      </w:pPr>
      <w:r>
        <w:rPr/>
      </w:r>
    </w:p>
    <w:sectPr>
      <w:headerReference w:type="default" r:id="rId8"/>
      <w:headerReference w:type="first" r:id="rId9"/>
      <w:type w:val="nextPage"/>
      <w:pgSz w:w="11906" w:h="16838"/>
      <w:pgMar w:left="1134" w:right="851" w:gutter="0" w:header="680" w:top="1134" w:footer="0" w:bottom="992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jc w:val="right"/>
      <w:rPr>
        <w:rFonts w:eastAsia="Calibri"/>
        <w:b/>
        <w:sz w:val="24"/>
        <w:szCs w:val="24"/>
      </w:rPr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1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679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22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2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679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22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color w:val="auto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szCs w:val="24"/>
        <w:i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i w:val="false"/>
        <w:szCs w:val="24"/>
        <w:iCs w:val="false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i w:val="false"/>
        <w:szCs w:val="24"/>
        <w:iCs w:val="fals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i w:val="false"/>
        <w:szCs w:val="24"/>
        <w:iCs w:val="fals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4"/>
        <w:i w:val="false"/>
        <w:szCs w:val="24"/>
        <w:iCs w:val="fals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4"/>
        <w:i w:val="false"/>
        <w:szCs w:val="24"/>
        <w:iCs w:val="fals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4"/>
        <w:i w:val="false"/>
        <w:szCs w:val="24"/>
        <w:iCs w:val="false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4"/>
        <w:i w:val="false"/>
        <w:szCs w:val="24"/>
        <w:iCs w:val="false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4"/>
        <w:i w:val="false"/>
        <w:szCs w:val="24"/>
        <w:iCs w:val="false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57a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4f0b32"/>
    <w:pPr>
      <w:keepNext w:val="true"/>
      <w:tabs>
        <w:tab w:val="clear" w:pos="720"/>
        <w:tab w:val="left" w:pos="0" w:leader="none"/>
        <w:tab w:val="left" w:pos="420" w:leader="none"/>
      </w:tabs>
      <w:spacing w:before="120" w:after="60"/>
      <w:ind w:left="397" w:hanging="51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4f0b32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4f0b32"/>
    <w:rPr>
      <w:color w:val="605E5C"/>
      <w:shd w:fill="E1DFDD" w:val="clear"/>
    </w:rPr>
  </w:style>
  <w:style w:type="character" w:styleId="15" w:customStyle="1">
    <w:name w:val="Стиль15 Знак"/>
    <w:link w:val="151"/>
    <w:qFormat/>
    <w:rsid w:val="009870a8"/>
    <w:rPr>
      <w:rFonts w:eastAsia="Calibri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e6e9d"/>
    <w:rPr>
      <w:color w:val="808080"/>
    </w:rPr>
  </w:style>
  <w:style w:type="character" w:styleId="ConsPlusNormal" w:customStyle="1">
    <w:name w:val="ConsPlusNormal Знак"/>
    <w:link w:val="ConsPlusNormal1"/>
    <w:qFormat/>
    <w:locked/>
    <w:rsid w:val="00fa0675"/>
    <w:rPr>
      <w:rFonts w:ascii="Arial" w:hAnsi="Arial" w:cs="Arial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нумерации"/>
    <w:qFormat/>
    <w:rPr>
      <w:i w:val="false"/>
      <w:iCs w:val="false"/>
      <w:sz w:val="24"/>
      <w:szCs w:val="24"/>
    </w:rPr>
  </w:style>
  <w:style w:type="character" w:styleId="Linenumber">
    <w:name w:val="line number"/>
    <w:qFormat/>
    <w:rPr/>
  </w:style>
  <w:style w:type="character" w:styleId="Strong1" w:customStyle="1">
    <w:name w:val="Strong1"/>
    <w:qFormat/>
    <w:rPr>
      <w:b/>
      <w:b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20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20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e2850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link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clear" w:pos="42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21" w:customStyle="1">
    <w:name w:val="Стиль12"/>
    <w:basedOn w:val="Normal"/>
    <w:qFormat/>
    <w:rsid w:val="009870a8"/>
    <w:pPr>
      <w:numPr>
        <w:ilvl w:val="0"/>
        <w:numId w:val="8"/>
      </w:numPr>
      <w:tabs>
        <w:tab w:val="clear" w:pos="720"/>
        <w:tab w:val="left" w:pos="1134" w:leader="none"/>
      </w:tabs>
      <w:spacing w:before="0" w:after="0"/>
      <w:ind w:left="1497" w:hanging="930"/>
      <w:contextualSpacing/>
      <w:jc w:val="both"/>
    </w:pPr>
    <w:rPr>
      <w:sz w:val="24"/>
      <w:szCs w:val="24"/>
    </w:rPr>
  </w:style>
  <w:style w:type="paragraph" w:styleId="131" w:customStyle="1">
    <w:name w:val="Стиль13"/>
    <w:basedOn w:val="Normal"/>
    <w:autoRedefine/>
    <w:qFormat/>
    <w:rsid w:val="009870a8"/>
    <w:pPr>
      <w:numPr>
        <w:ilvl w:val="1"/>
        <w:numId w:val="8"/>
      </w:numPr>
      <w:tabs>
        <w:tab w:val="clear" w:pos="720"/>
        <w:tab w:val="left" w:pos="1134" w:leader="none"/>
      </w:tabs>
      <w:spacing w:before="0" w:after="0"/>
      <w:ind w:left="0" w:firstLine="709"/>
      <w:contextualSpacing/>
      <w:jc w:val="both"/>
    </w:pPr>
    <w:rPr>
      <w:sz w:val="24"/>
      <w:szCs w:val="24"/>
    </w:rPr>
  </w:style>
  <w:style w:type="paragraph" w:styleId="141" w:customStyle="1">
    <w:name w:val="Стиль14"/>
    <w:basedOn w:val="Normal"/>
    <w:qFormat/>
    <w:rsid w:val="009870a8"/>
    <w:pPr>
      <w:numPr>
        <w:ilvl w:val="2"/>
        <w:numId w:val="8"/>
      </w:numPr>
      <w:tabs>
        <w:tab w:val="clear" w:pos="720"/>
        <w:tab w:val="left" w:pos="1134" w:leader="none"/>
        <w:tab w:val="left" w:pos="1276" w:leader="none"/>
      </w:tabs>
      <w:spacing w:before="0" w:after="0"/>
      <w:contextualSpacing/>
      <w:jc w:val="both"/>
    </w:pPr>
    <w:rPr>
      <w:sz w:val="24"/>
      <w:szCs w:val="24"/>
    </w:rPr>
  </w:style>
  <w:style w:type="paragraph" w:styleId="151" w:customStyle="1">
    <w:name w:val="Стиль15"/>
    <w:basedOn w:val="141"/>
    <w:link w:val="15"/>
    <w:qFormat/>
    <w:rsid w:val="009870a8"/>
    <w:pPr>
      <w:tabs>
        <w:tab w:val="clear" w:pos="1134"/>
        <w:tab w:val="clear" w:pos="1276"/>
      </w:tabs>
      <w:ind w:hanging="0"/>
    </w:pPr>
    <w:rPr>
      <w:rFonts w:eastAsia="Calibri"/>
      <w:lang w:eastAsia="en-US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36" w:customStyle="1">
    <w:name w:val="Стиль3"/>
    <w:uiPriority w:val="99"/>
    <w:qFormat/>
    <w:rsid w:val="00985e2c"/>
  </w:style>
  <w:style w:type="numbering" w:styleId="26521409561" w:customStyle="1">
    <w:name w:val="26521409561"/>
    <w:qFormat/>
  </w:style>
  <w:style w:type="numbering" w:styleId="8811504271" w:customStyle="1">
    <w:name w:val="8811504271"/>
    <w:qFormat/>
  </w:style>
  <w:style w:type="numbering" w:styleId="5942036981" w:customStyle="1">
    <w:name w:val="5942036981"/>
    <w:qFormat/>
  </w:style>
  <w:style w:type="numbering" w:styleId="41286372531" w:customStyle="1">
    <w:name w:val="41286372531"/>
    <w:qFormat/>
  </w:style>
  <w:style w:type="numbering" w:styleId="26734963761" w:customStyle="1">
    <w:name w:val="26734963761"/>
    <w:qFormat/>
  </w:style>
  <w:style w:type="numbering" w:styleId="24702021951" w:customStyle="1">
    <w:name w:val="24702021951"/>
    <w:qFormat/>
  </w:style>
  <w:style w:type="numbering" w:styleId="34502818751" w:customStyle="1">
    <w:name w:val="34502818751"/>
    <w:qFormat/>
  </w:style>
  <w:style w:type="numbering" w:styleId="22818197621" w:customStyle="1">
    <w:name w:val="22818197621"/>
    <w:qFormat/>
  </w:style>
  <w:style w:type="numbering" w:styleId="9319243981" w:customStyle="1">
    <w:name w:val="9319243981"/>
    <w:qFormat/>
  </w:style>
  <w:style w:type="numbering" w:styleId="933096811" w:customStyle="1">
    <w:name w:val="933096811"/>
    <w:qFormat/>
  </w:style>
  <w:style w:type="numbering" w:styleId="38419392291" w:customStyle="1">
    <w:name w:val="3841939229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3AE66-6C82-48B7-AD87-036BFCB0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Application>AlterOffice/2025.3.0.0$Linux_X86_64 LibreOffice_project/4ba31b6a4271509a884f95065d0a726e9cb2bdbb</Application>
  <AppVersion>15.0000</AppVersion>
  <Pages>16</Pages>
  <Words>3315</Words>
  <Characters>23318</Characters>
  <CharactersWithSpaces>26675</CharactersWithSpaces>
  <Paragraphs>410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2024-05-16T01:30:00Z</dcterms:created>
  <dc:creator>Быстров Олег Геннадьевич</dc:creator>
  <dc:description/>
  <dc:language>ru-RU</dc:language>
  <cp:lastModifiedBy>osadchayaem@corp.gidroogk.com</cp:lastModifiedBy>
  <cp:lastPrinted>2026-01-13T11:08:00Z</cp:lastPrinted>
  <dcterms:modified xsi:type="dcterms:W3CDTF">2026-07-16T15:25:52Z</dcterms:modified>
  <cp:revision>132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